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8F7" w:rsidRDefault="00222400" w:rsidP="00222400">
      <w:pPr>
        <w:jc w:val="center"/>
        <w:rPr>
          <w:rFonts w:ascii="Times New Roman" w:hAnsi="Times New Roman" w:cs="Times New Roman"/>
          <w:b/>
          <w:sz w:val="24"/>
          <w:szCs w:val="24"/>
        </w:rPr>
      </w:pPr>
      <w:r w:rsidRPr="00222400">
        <w:rPr>
          <w:rFonts w:ascii="Times New Roman" w:hAnsi="Times New Roman" w:cs="Times New Roman"/>
          <w:b/>
          <w:sz w:val="24"/>
          <w:szCs w:val="24"/>
        </w:rPr>
        <w:t>Apéndice</w:t>
      </w:r>
      <w:r>
        <w:rPr>
          <w:rFonts w:ascii="Times New Roman" w:hAnsi="Times New Roman" w:cs="Times New Roman"/>
          <w:b/>
          <w:sz w:val="24"/>
          <w:szCs w:val="24"/>
        </w:rPr>
        <w:t xml:space="preserve"> B</w:t>
      </w:r>
      <w:r w:rsidRPr="00222400">
        <w:rPr>
          <w:rFonts w:ascii="Times New Roman" w:hAnsi="Times New Roman" w:cs="Times New Roman"/>
          <w:b/>
          <w:sz w:val="24"/>
          <w:szCs w:val="24"/>
        </w:rPr>
        <w:t>. Caracterización del personal</w:t>
      </w:r>
      <w:r>
        <w:rPr>
          <w:rFonts w:ascii="Times New Roman" w:hAnsi="Times New Roman" w:cs="Times New Roman"/>
          <w:b/>
          <w:sz w:val="24"/>
          <w:szCs w:val="24"/>
        </w:rPr>
        <w:t>.</w:t>
      </w:r>
    </w:p>
    <w:p w:rsidR="00222400" w:rsidRDefault="00222400" w:rsidP="00222400">
      <w:pPr>
        <w:jc w:val="center"/>
        <w:rPr>
          <w:rFonts w:ascii="Times New Roman" w:hAnsi="Times New Roman" w:cs="Times New Roman"/>
          <w:b/>
          <w:sz w:val="24"/>
          <w:szCs w:val="24"/>
        </w:rPr>
      </w:pPr>
    </w:p>
    <w:p w:rsidR="00222400" w:rsidRPr="00222400" w:rsidRDefault="00222400" w:rsidP="00222400"/>
    <w:p w:rsidR="00222400" w:rsidRPr="00222400" w:rsidRDefault="00222400" w:rsidP="00222400">
      <w:pPr>
        <w:pStyle w:val="Caption"/>
        <w:keepNext/>
        <w:rPr>
          <w:rFonts w:ascii="Times New Roman" w:hAnsi="Times New Roman" w:cs="Times New Roman"/>
          <w:b/>
          <w:i w:val="0"/>
          <w:color w:val="auto"/>
          <w:sz w:val="24"/>
          <w:szCs w:val="24"/>
        </w:rPr>
      </w:pPr>
      <w:r w:rsidRPr="00222400">
        <w:rPr>
          <w:rFonts w:ascii="Times New Roman" w:hAnsi="Times New Roman" w:cs="Times New Roman"/>
          <w:b/>
          <w:i w:val="0"/>
          <w:color w:val="auto"/>
          <w:sz w:val="24"/>
          <w:szCs w:val="24"/>
        </w:rPr>
        <w:t xml:space="preserve">Tabla </w:t>
      </w:r>
      <w:r w:rsidRPr="00222400">
        <w:rPr>
          <w:rFonts w:ascii="Times New Roman" w:hAnsi="Times New Roman" w:cs="Times New Roman"/>
          <w:b/>
          <w:i w:val="0"/>
          <w:color w:val="auto"/>
          <w:sz w:val="24"/>
          <w:szCs w:val="24"/>
        </w:rPr>
        <w:fldChar w:fldCharType="begin"/>
      </w:r>
      <w:r w:rsidRPr="00222400">
        <w:rPr>
          <w:rFonts w:ascii="Times New Roman" w:hAnsi="Times New Roman" w:cs="Times New Roman"/>
          <w:b/>
          <w:i w:val="0"/>
          <w:color w:val="auto"/>
          <w:sz w:val="24"/>
          <w:szCs w:val="24"/>
        </w:rPr>
        <w:instrText xml:space="preserve"> SEQ Tabla \* ARABIC </w:instrText>
      </w:r>
      <w:r w:rsidRPr="00222400">
        <w:rPr>
          <w:rFonts w:ascii="Times New Roman" w:hAnsi="Times New Roman" w:cs="Times New Roman"/>
          <w:b/>
          <w:i w:val="0"/>
          <w:color w:val="auto"/>
          <w:sz w:val="24"/>
          <w:szCs w:val="24"/>
        </w:rPr>
        <w:fldChar w:fldCharType="separate"/>
      </w:r>
      <w:r w:rsidRPr="00222400">
        <w:rPr>
          <w:rFonts w:ascii="Times New Roman" w:hAnsi="Times New Roman" w:cs="Times New Roman"/>
          <w:b/>
          <w:i w:val="0"/>
          <w:noProof/>
          <w:color w:val="auto"/>
          <w:sz w:val="24"/>
          <w:szCs w:val="24"/>
        </w:rPr>
        <w:t>1</w:t>
      </w:r>
      <w:r w:rsidRPr="00222400">
        <w:rPr>
          <w:rFonts w:ascii="Times New Roman" w:hAnsi="Times New Roman" w:cs="Times New Roman"/>
          <w:b/>
          <w:i w:val="0"/>
          <w:color w:val="auto"/>
          <w:sz w:val="24"/>
          <w:szCs w:val="24"/>
        </w:rPr>
        <w:fldChar w:fldCharType="end"/>
      </w:r>
      <w:r w:rsidRPr="00222400">
        <w:rPr>
          <w:rFonts w:ascii="Times New Roman" w:hAnsi="Times New Roman" w:cs="Times New Roman"/>
          <w:b/>
          <w:i w:val="0"/>
          <w:color w:val="auto"/>
          <w:sz w:val="24"/>
          <w:szCs w:val="24"/>
        </w:rPr>
        <w:t xml:space="preserve">. </w:t>
      </w:r>
      <w:r w:rsidRPr="00222400">
        <w:rPr>
          <w:rFonts w:ascii="Times New Roman" w:hAnsi="Times New Roman" w:cs="Times New Roman"/>
          <w:b/>
          <w:i w:val="0"/>
          <w:color w:val="auto"/>
          <w:sz w:val="24"/>
          <w:szCs w:val="24"/>
        </w:rPr>
        <w:br/>
      </w:r>
      <w:r w:rsidRPr="00222400">
        <w:rPr>
          <w:rFonts w:ascii="Times New Roman" w:hAnsi="Times New Roman" w:cs="Times New Roman"/>
          <w:color w:val="auto"/>
          <w:sz w:val="24"/>
          <w:szCs w:val="24"/>
        </w:rPr>
        <w:t>Caracterización del personal</w:t>
      </w:r>
    </w:p>
    <w:tbl>
      <w:tblPr>
        <w:tblStyle w:val="PlainTable4"/>
        <w:tblW w:w="0" w:type="auto"/>
        <w:tblLook w:val="04A0" w:firstRow="1" w:lastRow="0" w:firstColumn="1" w:lastColumn="0" w:noHBand="0" w:noVBand="1"/>
      </w:tblPr>
      <w:tblGrid>
        <w:gridCol w:w="1803"/>
        <w:gridCol w:w="7035"/>
      </w:tblGrid>
      <w:tr w:rsidR="007F3EA5" w:rsidTr="00222400">
        <w:trPr>
          <w:cnfStyle w:val="100000000000" w:firstRow="1" w:lastRow="0" w:firstColumn="0" w:lastColumn="0" w:oddVBand="0" w:evenVBand="0" w:oddHBand="0"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1803" w:type="dxa"/>
            <w:tcBorders>
              <w:top w:val="single" w:sz="4" w:space="0" w:color="auto"/>
              <w:bottom w:val="single" w:sz="4" w:space="0" w:color="auto"/>
            </w:tcBorders>
          </w:tcPr>
          <w:p w:rsidR="007F3EA5" w:rsidRPr="004D4726" w:rsidRDefault="007F3EA5" w:rsidP="005F52EF">
            <w:pPr>
              <w:spacing w:line="360" w:lineRule="auto"/>
              <w:ind w:firstLine="0"/>
            </w:pPr>
            <w:r>
              <w:t>Í</w:t>
            </w:r>
            <w:r w:rsidRPr="004D4726">
              <w:t>tem</w:t>
            </w:r>
          </w:p>
        </w:tc>
        <w:tc>
          <w:tcPr>
            <w:tcW w:w="7035" w:type="dxa"/>
            <w:tcBorders>
              <w:top w:val="single" w:sz="4" w:space="0" w:color="auto"/>
              <w:bottom w:val="single" w:sz="4" w:space="0" w:color="auto"/>
            </w:tcBorders>
          </w:tcPr>
          <w:p w:rsidR="007F3EA5" w:rsidRPr="004D4726" w:rsidRDefault="007F3EA5" w:rsidP="005F52EF">
            <w:pPr>
              <w:spacing w:line="360" w:lineRule="auto"/>
              <w:ind w:firstLine="0"/>
              <w:cnfStyle w:val="100000000000" w:firstRow="1" w:lastRow="0" w:firstColumn="0" w:lastColumn="0" w:oddVBand="0" w:evenVBand="0" w:oddHBand="0" w:evenHBand="0" w:firstRowFirstColumn="0" w:firstRowLastColumn="0" w:lastRowFirstColumn="0" w:lastRowLastColumn="0"/>
            </w:pPr>
            <w:r>
              <w:t>D</w:t>
            </w:r>
            <w:r w:rsidRPr="004D4726">
              <w:t>escripción</w:t>
            </w:r>
          </w:p>
        </w:tc>
      </w:tr>
      <w:tr w:rsidR="007F3EA5" w:rsidTr="002224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Borders>
              <w:top w:val="single" w:sz="4" w:space="0" w:color="auto"/>
            </w:tcBorders>
          </w:tcPr>
          <w:p w:rsidR="007F3EA5" w:rsidRPr="004D4726" w:rsidRDefault="007F3EA5" w:rsidP="005F52EF">
            <w:pPr>
              <w:spacing w:line="360" w:lineRule="auto"/>
              <w:ind w:firstLine="0"/>
            </w:pPr>
            <w:r>
              <w:t>Edad</w:t>
            </w:r>
          </w:p>
        </w:tc>
        <w:tc>
          <w:tcPr>
            <w:tcW w:w="7035" w:type="dxa"/>
            <w:tcBorders>
              <w:top w:val="single" w:sz="4" w:space="0" w:color="auto"/>
            </w:tcBorders>
          </w:tcPr>
          <w:p w:rsidR="007F3EA5" w:rsidRPr="00285078" w:rsidRDefault="007F3EA5" w:rsidP="005F52EF">
            <w:pPr>
              <w:spacing w:line="360" w:lineRule="auto"/>
              <w:ind w:firstLine="0"/>
              <w:cnfStyle w:val="000000100000" w:firstRow="0" w:lastRow="0" w:firstColumn="0" w:lastColumn="0" w:oddVBand="0" w:evenVBand="0" w:oddHBand="1" w:evenHBand="0" w:firstRowFirstColumn="0" w:firstRowLastColumn="0" w:lastRowFirstColumn="0" w:lastRowLastColumn="0"/>
            </w:pPr>
            <w:r>
              <w:t>Se ob</w:t>
            </w:r>
            <w:r w:rsidRPr="00787D16">
              <w:t>serva que el mayor porcentaje hace referencia a edades comprendid</w:t>
            </w:r>
            <w:bookmarkStart w:id="0" w:name="_GoBack"/>
            <w:bookmarkEnd w:id="0"/>
            <w:r w:rsidRPr="00787D16">
              <w:t>as entre los 2</w:t>
            </w:r>
            <w:r>
              <w:t>6</w:t>
            </w:r>
            <w:r w:rsidRPr="00787D16">
              <w:t xml:space="preserve"> y 35 años, lo que evidencia las edades más productivas de la empresa, también se aprecia un porcentaje alto del </w:t>
            </w:r>
            <w:r>
              <w:t>29</w:t>
            </w:r>
            <w:r w:rsidRPr="00787D16">
              <w:t>% de</w:t>
            </w:r>
            <w:r>
              <w:t>l</w:t>
            </w:r>
            <w:r w:rsidRPr="00787D16">
              <w:t xml:space="preserve"> personal</w:t>
            </w:r>
            <w:r>
              <w:t xml:space="preserve"> que</w:t>
            </w:r>
            <w:r w:rsidRPr="00787D16">
              <w:t xml:space="preserve"> tiene </w:t>
            </w:r>
            <w:r>
              <w:t>entre 18 y</w:t>
            </w:r>
            <w:r w:rsidRPr="00787D16">
              <w:t xml:space="preserve"> 25 años</w:t>
            </w:r>
            <w:r>
              <w:t>,</w:t>
            </w:r>
            <w:r w:rsidRPr="00787D16">
              <w:t xml:space="preserve"> lo que </w:t>
            </w:r>
            <w:r>
              <w:t>muestra</w:t>
            </w:r>
            <w:r w:rsidRPr="00787D16">
              <w:t xml:space="preserve"> la inclusión de pe</w:t>
            </w:r>
            <w:r>
              <w:t>rsonal joven o recién egresados a la empresa.</w:t>
            </w:r>
          </w:p>
        </w:tc>
      </w:tr>
      <w:tr w:rsidR="007F3EA5" w:rsidTr="00222400">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rsidRPr="004D4726">
              <w:t>Género</w:t>
            </w:r>
          </w:p>
        </w:tc>
        <w:tc>
          <w:tcPr>
            <w:tcW w:w="7035" w:type="dxa"/>
          </w:tcPr>
          <w:p w:rsidR="007F3EA5" w:rsidRPr="00571F34" w:rsidRDefault="007F3EA5"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sz w:val="22"/>
              </w:rPr>
            </w:pPr>
            <w:r>
              <w:rPr>
                <w:sz w:val="22"/>
              </w:rPr>
              <w:t>De los 98 trabajadores que laboran en CEDCO SAS, 70 son mujeres y representan el 71% del personal. Adicionalmente, 51 de estas mujeres pertenecen al área asistencial en donde ocupan cargos de atención directa al paciente.</w:t>
            </w:r>
          </w:p>
        </w:tc>
      </w:tr>
      <w:tr w:rsidR="007F3EA5" w:rsidTr="002224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Área a la que pertenece</w:t>
            </w:r>
          </w:p>
        </w:tc>
        <w:tc>
          <w:tcPr>
            <w:tcW w:w="7035" w:type="dxa"/>
          </w:tcPr>
          <w:p w:rsidR="007F3EA5" w:rsidRDefault="007F3EA5" w:rsidP="005F52EF">
            <w:pPr>
              <w:spacing w:line="360" w:lineRule="auto"/>
              <w:ind w:firstLine="0"/>
              <w:cnfStyle w:val="000000100000" w:firstRow="0" w:lastRow="0" w:firstColumn="0" w:lastColumn="0" w:oddVBand="0" w:evenVBand="0" w:oddHBand="1" w:evenHBand="0" w:firstRowFirstColumn="0" w:firstRowLastColumn="0" w:lastRowFirstColumn="0" w:lastRowLastColumn="0"/>
            </w:pPr>
            <w:r>
              <w:t>Los cargos más representativos pertenecen al área asistencial con un 70% del personal y esto se debe al objeto social de la empresa que es la prestación de servicios de salud visual.</w:t>
            </w:r>
          </w:p>
        </w:tc>
      </w:tr>
      <w:tr w:rsidR="007F3EA5" w:rsidTr="00222400">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Tipo de vinculación a la empresa</w:t>
            </w:r>
          </w:p>
        </w:tc>
        <w:tc>
          <w:tcPr>
            <w:tcW w:w="7035" w:type="dxa"/>
          </w:tcPr>
          <w:p w:rsidR="007F3EA5" w:rsidRDefault="007F3EA5" w:rsidP="005F52EF">
            <w:pPr>
              <w:spacing w:line="360" w:lineRule="auto"/>
              <w:ind w:firstLine="0"/>
              <w:cnfStyle w:val="000000000000" w:firstRow="0" w:lastRow="0" w:firstColumn="0" w:lastColumn="0" w:oddVBand="0" w:evenVBand="0" w:oddHBand="0" w:evenHBand="0" w:firstRowFirstColumn="0" w:firstRowLastColumn="0" w:lastRowFirstColumn="0" w:lastRowLastColumn="0"/>
            </w:pPr>
            <w:r>
              <w:t>El 83% del personal tiene vinculación directa con la empresa mediante contratos a término indefinido y a término fijo. El 17% restante del personal, se encuentra vinculado mediante contrato por prestación de servicios que en su mayoría, pertenecen al área asistencial y que a su vez, el nivel de escolaridad de mayor predominancia es el profesional correspondiente a cargos como: médico oftalmólogo, instrumentador quirúrgico y optómetra.</w:t>
            </w:r>
          </w:p>
        </w:tc>
      </w:tr>
      <w:tr w:rsidR="007F3EA5" w:rsidTr="002224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Tiempo de vinculación</w:t>
            </w:r>
          </w:p>
        </w:tc>
        <w:tc>
          <w:tcPr>
            <w:tcW w:w="7035" w:type="dxa"/>
          </w:tcPr>
          <w:p w:rsidR="007F3EA5" w:rsidRDefault="007F3EA5" w:rsidP="005F52EF">
            <w:pPr>
              <w:spacing w:line="360" w:lineRule="auto"/>
              <w:ind w:firstLine="0"/>
              <w:cnfStyle w:val="000000100000" w:firstRow="0" w:lastRow="0" w:firstColumn="0" w:lastColumn="0" w:oddVBand="0" w:evenVBand="0" w:oddHBand="1" w:evenHBand="0" w:firstRowFirstColumn="0" w:firstRowLastColumn="0" w:lastRowFirstColumn="0" w:lastRowLastColumn="0"/>
            </w:pPr>
            <w:r>
              <w:t>Se</w:t>
            </w:r>
            <w:r w:rsidRPr="00787D16">
              <w:t xml:space="preserve"> evidencia un mayor porcentaje</w:t>
            </w:r>
            <w:r>
              <w:t xml:space="preserve"> (68%)</w:t>
            </w:r>
            <w:r w:rsidRPr="00787D16">
              <w:t xml:space="preserve"> </w:t>
            </w:r>
            <w:r>
              <w:t xml:space="preserve">en trabajadores con </w:t>
            </w:r>
            <w:r w:rsidRPr="00787D16">
              <w:t xml:space="preserve">tiempo </w:t>
            </w:r>
            <w:r>
              <w:t xml:space="preserve">de vinculación </w:t>
            </w:r>
            <w:r w:rsidRPr="00787D16">
              <w:t xml:space="preserve">menor </w:t>
            </w:r>
            <w:r>
              <w:t>a 5 años, en donde un 33% corresponde a empleados que cuentan con un tiempo de vinculación menor a un año. De acuerdo a esta información, se evidencia que, la empresa ha realizado la contratación de 32 nuevos trabajadores en el último año que actualmente continúan vinculados a CEDCO SAS.</w:t>
            </w:r>
          </w:p>
        </w:tc>
      </w:tr>
      <w:tr w:rsidR="007F3EA5" w:rsidTr="00222400">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lastRenderedPageBreak/>
              <w:t>Nivel socioeconómico</w:t>
            </w:r>
          </w:p>
        </w:tc>
        <w:tc>
          <w:tcPr>
            <w:tcW w:w="7035" w:type="dxa"/>
          </w:tcPr>
          <w:p w:rsidR="007F3EA5" w:rsidRDefault="007F3EA5" w:rsidP="005F52EF">
            <w:pPr>
              <w:spacing w:line="360" w:lineRule="auto"/>
              <w:ind w:firstLine="0"/>
              <w:cnfStyle w:val="000000000000" w:firstRow="0" w:lastRow="0" w:firstColumn="0" w:lastColumn="0" w:oddVBand="0" w:evenVBand="0" w:oddHBand="0" w:evenHBand="0" w:firstRowFirstColumn="0" w:firstRowLastColumn="0" w:lastRowFirstColumn="0" w:lastRowLastColumn="0"/>
            </w:pPr>
            <w:r>
              <w:t xml:space="preserve">Según </w:t>
            </w:r>
            <w:r w:rsidRPr="00787D16">
              <w:t>la caracterización por estratos</w:t>
            </w:r>
            <w:r>
              <w:t>,</w:t>
            </w:r>
            <w:r w:rsidRPr="00787D16">
              <w:t xml:space="preserve"> </w:t>
            </w:r>
            <w:r>
              <w:t>se</w:t>
            </w:r>
            <w:r w:rsidRPr="00787D16">
              <w:t xml:space="preserve"> evidencia </w:t>
            </w:r>
            <w:r>
              <w:t xml:space="preserve">que el estrato social más común entre el personal de la empresa es el estrato 3 con </w:t>
            </w:r>
            <w:r w:rsidRPr="00787D16">
              <w:t xml:space="preserve">un porcentaje del </w:t>
            </w:r>
            <w:r w:rsidRPr="00516677">
              <w:t xml:space="preserve">35% </w:t>
            </w:r>
            <w:r>
              <w:t>del total del personal.</w:t>
            </w:r>
          </w:p>
        </w:tc>
      </w:tr>
      <w:tr w:rsidR="007F3EA5" w:rsidTr="002224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Nivel educativo</w:t>
            </w:r>
          </w:p>
        </w:tc>
        <w:tc>
          <w:tcPr>
            <w:tcW w:w="7035" w:type="dxa"/>
          </w:tcPr>
          <w:p w:rsidR="007F3EA5" w:rsidRPr="00516677" w:rsidRDefault="007F3EA5" w:rsidP="005F52EF">
            <w:pPr>
              <w:spacing w:line="360" w:lineRule="auto"/>
              <w:ind w:firstLine="0"/>
              <w:cnfStyle w:val="000000100000" w:firstRow="0" w:lastRow="0" w:firstColumn="0" w:lastColumn="0" w:oddVBand="0" w:evenVBand="0" w:oddHBand="1" w:evenHBand="0" w:firstRowFirstColumn="0" w:firstRowLastColumn="0" w:lastRowFirstColumn="0" w:lastRowLastColumn="0"/>
            </w:pPr>
            <w:r>
              <w:t>El nivel educativo con un mayor porcentaje (57%) es el técnico y esto es debido a la necesidad de contar con personal con conocimientos específicos para cada una de las áreas a las que pertenece. A su vez, el 30% del personal, cuenta con estudios profesionales que corresponden a cargos de directores, coordinadores de área y personal médico con especialidad en oftalmología.</w:t>
            </w:r>
          </w:p>
        </w:tc>
      </w:tr>
      <w:tr w:rsidR="007F3EA5" w:rsidTr="00222400">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Estado civil</w:t>
            </w:r>
          </w:p>
        </w:tc>
        <w:tc>
          <w:tcPr>
            <w:tcW w:w="7035" w:type="dxa"/>
          </w:tcPr>
          <w:p w:rsidR="007F3EA5" w:rsidRDefault="007F3EA5" w:rsidP="005F52EF">
            <w:pPr>
              <w:spacing w:line="360" w:lineRule="auto"/>
              <w:ind w:firstLine="0"/>
              <w:cnfStyle w:val="000000000000" w:firstRow="0" w:lastRow="0" w:firstColumn="0" w:lastColumn="0" w:oddVBand="0" w:evenVBand="0" w:oddHBand="0" w:evenHBand="0" w:firstRowFirstColumn="0" w:firstRowLastColumn="0" w:lastRowFirstColumn="0" w:lastRowLastColumn="0"/>
            </w:pPr>
            <w:r>
              <w:t>La cantidad de trabajadores de CEDCO SAS que tiene soltero como estado civil es de 47, siendo este, el estado civil con mayor predominancia, de los cuales, 29 trabajadores son mujeres que se encuentran en un rango de edades entre 18 y 35 años.</w:t>
            </w:r>
          </w:p>
        </w:tc>
      </w:tr>
      <w:tr w:rsidR="007F3EA5" w:rsidTr="002224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Salario devengado</w:t>
            </w:r>
          </w:p>
        </w:tc>
        <w:tc>
          <w:tcPr>
            <w:tcW w:w="7035" w:type="dxa"/>
          </w:tcPr>
          <w:p w:rsidR="007F3EA5" w:rsidRDefault="007F3EA5" w:rsidP="005F52EF">
            <w:pPr>
              <w:spacing w:line="360" w:lineRule="auto"/>
              <w:ind w:firstLine="0"/>
              <w:cnfStyle w:val="000000100000" w:firstRow="0" w:lastRow="0" w:firstColumn="0" w:lastColumn="0" w:oddVBand="0" w:evenVBand="0" w:oddHBand="1" w:evenHBand="0" w:firstRowFirstColumn="0" w:firstRowLastColumn="0" w:lastRowFirstColumn="0" w:lastRowLastColumn="0"/>
            </w:pPr>
            <w:r>
              <w:t xml:space="preserve">En CEDCO SAS, el 54% del personal devenga un salario entre 1-2 SMMLV. Por otro lado, un 22% del personal devenga 1 SMMLV y esto se asocia con el tiempo que han laborado en la institución puesto que corresponde a personal que tiene un tiempo de vinculación menor a un año. A su vez, el 13% devenga un salario mayor a 4 SMMLV que corresponden a profesionales especializados en oftalmología. </w:t>
            </w:r>
          </w:p>
        </w:tc>
      </w:tr>
      <w:tr w:rsidR="007F3EA5" w:rsidTr="00222400">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Número de hijos</w:t>
            </w:r>
          </w:p>
        </w:tc>
        <w:tc>
          <w:tcPr>
            <w:tcW w:w="7035" w:type="dxa"/>
          </w:tcPr>
          <w:p w:rsidR="007F3EA5" w:rsidRDefault="007F3EA5" w:rsidP="005F52EF">
            <w:pPr>
              <w:spacing w:line="360" w:lineRule="auto"/>
              <w:ind w:firstLine="0"/>
              <w:cnfStyle w:val="000000000000" w:firstRow="0" w:lastRow="0" w:firstColumn="0" w:lastColumn="0" w:oddVBand="0" w:evenVBand="0" w:oddHBand="0" w:evenHBand="0" w:firstRowFirstColumn="0" w:firstRowLastColumn="0" w:lastRowFirstColumn="0" w:lastRowLastColumn="0"/>
            </w:pPr>
            <w:r>
              <w:t>Se observa que el mayor porcentaje hace referencia a empleados que no tienen hijos con un porcentaje del 51%, un 33% tiene un solo hijo, el 13% tiene dos hijos y el 2% tiene tres hijos. Esta información es de gran importancia pues se debe tener en cuenta en el momento de plantear las actividades y celebraciones que involucren a los hijos de los trabajadores.</w:t>
            </w:r>
          </w:p>
        </w:tc>
      </w:tr>
      <w:tr w:rsidR="007F3EA5" w:rsidTr="002224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tcPr>
          <w:p w:rsidR="007F3EA5" w:rsidRDefault="007F3EA5" w:rsidP="005F52EF">
            <w:pPr>
              <w:spacing w:line="360" w:lineRule="auto"/>
              <w:ind w:firstLine="0"/>
            </w:pPr>
            <w:r>
              <w:t>Tipo de vivienda</w:t>
            </w:r>
          </w:p>
        </w:tc>
        <w:tc>
          <w:tcPr>
            <w:tcW w:w="7035" w:type="dxa"/>
          </w:tcPr>
          <w:p w:rsidR="007F3EA5" w:rsidRDefault="007F3EA5" w:rsidP="005F52EF">
            <w:pPr>
              <w:spacing w:line="360" w:lineRule="auto"/>
              <w:ind w:firstLine="0"/>
              <w:cnfStyle w:val="000000100000" w:firstRow="0" w:lastRow="0" w:firstColumn="0" w:lastColumn="0" w:oddVBand="0" w:evenVBand="0" w:oddHBand="1" w:evenHBand="0" w:firstRowFirstColumn="0" w:firstRowLastColumn="0" w:lastRowFirstColumn="0" w:lastRowLastColumn="0"/>
            </w:pPr>
            <w:r>
              <w:t>El 59% de los empleados vive en apartamento, el 32% vive en casa y el 9% en habitación</w:t>
            </w:r>
          </w:p>
        </w:tc>
      </w:tr>
      <w:tr w:rsidR="007F3EA5" w:rsidTr="00222400">
        <w:tc>
          <w:tcPr>
            <w:cnfStyle w:val="001000000000" w:firstRow="0" w:lastRow="0" w:firstColumn="1" w:lastColumn="0" w:oddVBand="0" w:evenVBand="0" w:oddHBand="0" w:evenHBand="0" w:firstRowFirstColumn="0" w:firstRowLastColumn="0" w:lastRowFirstColumn="0" w:lastRowLastColumn="0"/>
            <w:tcW w:w="1803" w:type="dxa"/>
            <w:tcBorders>
              <w:bottom w:val="single" w:sz="4" w:space="0" w:color="auto"/>
            </w:tcBorders>
          </w:tcPr>
          <w:p w:rsidR="007F3EA5" w:rsidRDefault="007F3EA5" w:rsidP="005F52EF">
            <w:pPr>
              <w:spacing w:line="360" w:lineRule="auto"/>
              <w:ind w:firstLine="0"/>
            </w:pPr>
            <w:r>
              <w:t>Tenencia de vivienda</w:t>
            </w:r>
          </w:p>
        </w:tc>
        <w:tc>
          <w:tcPr>
            <w:tcW w:w="7035" w:type="dxa"/>
            <w:tcBorders>
              <w:bottom w:val="single" w:sz="4" w:space="0" w:color="auto"/>
            </w:tcBorders>
          </w:tcPr>
          <w:p w:rsidR="007F3EA5" w:rsidRDefault="007F3EA5" w:rsidP="005F52EF">
            <w:pPr>
              <w:spacing w:line="360" w:lineRule="auto"/>
              <w:ind w:firstLine="0"/>
              <w:cnfStyle w:val="000000000000" w:firstRow="0" w:lastRow="0" w:firstColumn="0" w:lastColumn="0" w:oddVBand="0" w:evenVBand="0" w:oddHBand="0" w:evenHBand="0" w:firstRowFirstColumn="0" w:firstRowLastColumn="0" w:lastRowFirstColumn="0" w:lastRowLastColumn="0"/>
            </w:pPr>
            <w:r>
              <w:t xml:space="preserve">El 46% de los empleados habita en un inmueble arrendado, el 32% posee vivienda propia y el 22% vive con familiares. La información que se obtuvo en este ítem, es de gran importancia para formular un plan de </w:t>
            </w:r>
            <w:r>
              <w:lastRenderedPageBreak/>
              <w:t xml:space="preserve">capacitaciones que abarque temas de finanzas familiares y opciones para adquirir vivienda propia. </w:t>
            </w:r>
          </w:p>
        </w:tc>
      </w:tr>
    </w:tbl>
    <w:p w:rsidR="007F3EA5" w:rsidRDefault="007F3EA5"/>
    <w:sectPr w:rsidR="007F3EA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A5"/>
    <w:rsid w:val="000B425A"/>
    <w:rsid w:val="00222400"/>
    <w:rsid w:val="002B39C1"/>
    <w:rsid w:val="007F3EA5"/>
    <w:rsid w:val="00920AEC"/>
    <w:rsid w:val="00AC5C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C78E6"/>
  <w15:chartTrackingRefBased/>
  <w15:docId w15:val="{25372B6C-1FAE-4EFA-BDDB-58BDC0767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4">
    <w:name w:val="Plain Table 4"/>
    <w:basedOn w:val="TableNormal"/>
    <w:uiPriority w:val="44"/>
    <w:rsid w:val="007F3EA5"/>
    <w:pPr>
      <w:spacing w:after="0" w:line="240" w:lineRule="auto"/>
      <w:ind w:firstLine="284"/>
      <w:jc w:val="both"/>
    </w:pPr>
    <w:rPr>
      <w:rFonts w:ascii="Times New Roman" w:eastAsia="Times New Roman" w:hAnsi="Times New Roman" w:cs="Times New Roman"/>
      <w:sz w:val="24"/>
      <w:szCs w:val="24"/>
      <w:lang w:val="es-CO"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unhideWhenUsed/>
    <w:qFormat/>
    <w:rsid w:val="0022240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590</Words>
  <Characters>3251</Characters>
  <DocSecurity>0</DocSecurity>
  <Lines>27</Lines>
  <Paragraphs>7</Paragraphs>
  <ScaleCrop>false</ScaleCrop>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2023-04-06T18:56:00Z</dcterms:created>
  <dcterms:modified xsi:type="dcterms:W3CDTF">2023-04-07T00:10:00Z</dcterms:modified>
</cp:coreProperties>
</file>